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9B62" w14:textId="2C7AF5EB" w:rsidR="00E76C8D" w:rsidRPr="007229B6" w:rsidRDefault="00E76C8D" w:rsidP="00E76C8D">
      <w:pPr>
        <w:shd w:val="clear" w:color="auto" w:fill="FFFFFF"/>
        <w:spacing w:after="225" w:line="360" w:lineRule="atLeast"/>
        <w:jc w:val="center"/>
        <w:rPr>
          <w:rFonts w:ascii="Cambria" w:eastAsia="Times New Roman" w:hAnsi="Cambria" w:cs="Open Sans"/>
          <w:color w:val="333333"/>
          <w:lang w:eastAsia="en-CA"/>
        </w:rPr>
      </w:pPr>
      <w:r w:rsidRPr="007229B6">
        <w:rPr>
          <w:rFonts w:ascii="Cambria" w:eastAsia="Times New Roman" w:hAnsi="Cambria" w:cs="Open Sans"/>
          <w:color w:val="333333"/>
          <w:lang w:eastAsia="en-CA"/>
        </w:rPr>
        <w:t>TELEPSYCHIATRY CONSENT</w:t>
      </w:r>
    </w:p>
    <w:p w14:paraId="73C09265" w14:textId="77777777" w:rsidR="00537EC2" w:rsidRPr="007229B6" w:rsidRDefault="00537EC2" w:rsidP="00537EC2">
      <w:pPr>
        <w:pStyle w:val="Body"/>
        <w:jc w:val="both"/>
        <w:rPr>
          <w:sz w:val="22"/>
          <w:szCs w:val="22"/>
        </w:rPr>
      </w:pPr>
      <w:r w:rsidRPr="007229B6">
        <w:rPr>
          <w:sz w:val="22"/>
          <w:szCs w:val="22"/>
        </w:rPr>
        <w:t xml:space="preserve">Patient </w:t>
      </w:r>
      <w:proofErr w:type="gramStart"/>
      <w:r w:rsidRPr="007229B6">
        <w:rPr>
          <w:sz w:val="22"/>
          <w:szCs w:val="22"/>
        </w:rPr>
        <w:t>Name:_</w:t>
      </w:r>
      <w:proofErr w:type="gramEnd"/>
      <w:r w:rsidRPr="007229B6">
        <w:rPr>
          <w:sz w:val="22"/>
          <w:szCs w:val="22"/>
        </w:rPr>
        <w:t>___________________________________________________________</w:t>
      </w:r>
    </w:p>
    <w:p w14:paraId="03B28C64" w14:textId="77777777" w:rsidR="00537EC2" w:rsidRPr="007229B6" w:rsidRDefault="00537EC2" w:rsidP="00E76C8D">
      <w:pPr>
        <w:shd w:val="clear" w:color="auto" w:fill="FFFFFF"/>
        <w:spacing w:after="225" w:line="360" w:lineRule="atLeast"/>
        <w:rPr>
          <w:rFonts w:ascii="Cambria" w:eastAsia="Times New Roman" w:hAnsi="Cambria" w:cs="Open Sans"/>
          <w:color w:val="333333"/>
          <w:lang w:eastAsia="en-CA"/>
        </w:rPr>
      </w:pPr>
    </w:p>
    <w:p w14:paraId="3F12D8D5" w14:textId="17AEE63B"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color w:val="333333"/>
          <w:lang w:eastAsia="en-CA"/>
        </w:rPr>
        <w:t>Telepsychiatry is the delivery of psychiatric services using interactive video conferencing that enables a psychiatrist or his associates at a distant location to provide treatment to me. I understand that this consultation will not be the same as direct patient/psychiatrist visit. Telepsychiatry will allow me to receive medical care without the need to visit the office and travel long distance.</w:t>
      </w:r>
    </w:p>
    <w:p w14:paraId="51154443" w14:textId="77777777" w:rsidR="00E76C8D" w:rsidRPr="00E76C8D" w:rsidRDefault="00E76C8D" w:rsidP="00E76C8D">
      <w:pPr>
        <w:numPr>
          <w:ilvl w:val="0"/>
          <w:numId w:val="1"/>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Client health records</w:t>
      </w:r>
    </w:p>
    <w:p w14:paraId="37E8A13F" w14:textId="77777777" w:rsidR="00E76C8D" w:rsidRPr="00E76C8D" w:rsidRDefault="00E76C8D" w:rsidP="00E76C8D">
      <w:pPr>
        <w:numPr>
          <w:ilvl w:val="0"/>
          <w:numId w:val="1"/>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Live two-way audio and video</w:t>
      </w:r>
    </w:p>
    <w:p w14:paraId="727EBEBB" w14:textId="77777777" w:rsidR="00E76C8D" w:rsidRPr="00E76C8D" w:rsidRDefault="00E76C8D" w:rsidP="00E76C8D">
      <w:pPr>
        <w:numPr>
          <w:ilvl w:val="0"/>
          <w:numId w:val="1"/>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Output data from health devices and sound and video files</w:t>
      </w:r>
    </w:p>
    <w:p w14:paraId="03680BC4" w14:textId="77777777"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color w:val="333333"/>
          <w:lang w:eastAsia="en-CA"/>
        </w:rPr>
        <w:t>Electronic systems used will incorporate network and software security protocols to protect the confidentiality of client identification and imaging data and will include measures to safeguard the data and to ensure its integrity against intentional or unintentional corruption. </w:t>
      </w:r>
    </w:p>
    <w:p w14:paraId="49980D2F" w14:textId="77777777"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b/>
          <w:bCs/>
          <w:color w:val="333333"/>
          <w:lang w:eastAsia="en-CA"/>
        </w:rPr>
        <w:t>Expected Benefits:</w:t>
      </w:r>
    </w:p>
    <w:p w14:paraId="693E99A4" w14:textId="77777777" w:rsidR="00E76C8D" w:rsidRPr="00E76C8D" w:rsidRDefault="00E76C8D" w:rsidP="00E76C8D">
      <w:pPr>
        <w:numPr>
          <w:ilvl w:val="0"/>
          <w:numId w:val="2"/>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Increased accessibility to psychiatric care</w:t>
      </w:r>
    </w:p>
    <w:p w14:paraId="2199130E" w14:textId="77777777" w:rsidR="00E76C8D" w:rsidRPr="00E76C8D" w:rsidRDefault="00E76C8D" w:rsidP="00E76C8D">
      <w:pPr>
        <w:numPr>
          <w:ilvl w:val="0"/>
          <w:numId w:val="2"/>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More efficient client evaluation and management.</w:t>
      </w:r>
    </w:p>
    <w:p w14:paraId="087CB7D6" w14:textId="77777777" w:rsidR="00E76C8D" w:rsidRPr="00E76C8D" w:rsidRDefault="00E76C8D" w:rsidP="00E76C8D">
      <w:pPr>
        <w:numPr>
          <w:ilvl w:val="0"/>
          <w:numId w:val="2"/>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Patient convenience</w:t>
      </w:r>
    </w:p>
    <w:p w14:paraId="33A5459D" w14:textId="77777777"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b/>
          <w:bCs/>
          <w:color w:val="333333"/>
          <w:lang w:eastAsia="en-CA"/>
        </w:rPr>
        <w:t>Possible Risks:</w:t>
      </w:r>
    </w:p>
    <w:p w14:paraId="666C6CB4" w14:textId="77777777"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color w:val="333333"/>
          <w:lang w:eastAsia="en-CA"/>
        </w:rPr>
        <w:t>There are potential risks associated with the use of telepsychiatry. These risks include, but may not be limited to: </w:t>
      </w:r>
    </w:p>
    <w:p w14:paraId="689318F8" w14:textId="77777777" w:rsidR="00E76C8D" w:rsidRPr="00E76C8D" w:rsidRDefault="00E76C8D" w:rsidP="00E76C8D">
      <w:pPr>
        <w:numPr>
          <w:ilvl w:val="0"/>
          <w:numId w:val="3"/>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In rare cases, information transmitted may not be sufficient (e.g. poor resolution of images) to allow for appropriate decision making by the providers and consultant(s);</w:t>
      </w:r>
    </w:p>
    <w:p w14:paraId="6E31CB4A" w14:textId="77777777" w:rsidR="00E76C8D" w:rsidRPr="00E76C8D" w:rsidRDefault="00E76C8D" w:rsidP="00E76C8D">
      <w:pPr>
        <w:numPr>
          <w:ilvl w:val="0"/>
          <w:numId w:val="3"/>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Delays in medical evaluation and treatment could occur due to deficiencies or failures of the equipment;</w:t>
      </w:r>
    </w:p>
    <w:p w14:paraId="0750D6FD" w14:textId="77777777" w:rsidR="00E76C8D" w:rsidRPr="00E76C8D" w:rsidRDefault="00E76C8D" w:rsidP="00E76C8D">
      <w:pPr>
        <w:numPr>
          <w:ilvl w:val="0"/>
          <w:numId w:val="3"/>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In very rare instances, security protocols could fail, causing a breach of privacy of personal health information;</w:t>
      </w:r>
    </w:p>
    <w:p w14:paraId="43545A30" w14:textId="77777777" w:rsidR="00E76C8D" w:rsidRPr="00E76C8D" w:rsidRDefault="00E76C8D" w:rsidP="00E76C8D">
      <w:pPr>
        <w:numPr>
          <w:ilvl w:val="0"/>
          <w:numId w:val="3"/>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In rare cases, a lack of access to complete health records may result in interactions or allergic reactions or other judgment errors;</w:t>
      </w:r>
    </w:p>
    <w:p w14:paraId="114FE369" w14:textId="77777777" w:rsidR="005028A7" w:rsidRDefault="005028A7" w:rsidP="00E76C8D">
      <w:pPr>
        <w:shd w:val="clear" w:color="auto" w:fill="FFFFFF"/>
        <w:spacing w:after="225" w:line="360" w:lineRule="atLeast"/>
        <w:rPr>
          <w:rFonts w:ascii="Cambria" w:eastAsia="Times New Roman" w:hAnsi="Cambria" w:cs="Open Sans"/>
          <w:b/>
          <w:bCs/>
          <w:color w:val="333333"/>
          <w:lang w:eastAsia="en-CA"/>
        </w:rPr>
      </w:pPr>
    </w:p>
    <w:p w14:paraId="1B26A03D" w14:textId="77777777" w:rsidR="005028A7" w:rsidRDefault="005028A7" w:rsidP="00E76C8D">
      <w:pPr>
        <w:shd w:val="clear" w:color="auto" w:fill="FFFFFF"/>
        <w:spacing w:after="225" w:line="360" w:lineRule="atLeast"/>
        <w:rPr>
          <w:rFonts w:ascii="Cambria" w:eastAsia="Times New Roman" w:hAnsi="Cambria" w:cs="Open Sans"/>
          <w:b/>
          <w:bCs/>
          <w:color w:val="333333"/>
          <w:lang w:eastAsia="en-CA"/>
        </w:rPr>
      </w:pPr>
    </w:p>
    <w:p w14:paraId="04CA499F" w14:textId="40D3DF34"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b/>
          <w:bCs/>
          <w:color w:val="333333"/>
          <w:lang w:eastAsia="en-CA"/>
        </w:rPr>
        <w:t>By signing this form, I understand the following:</w:t>
      </w:r>
    </w:p>
    <w:p w14:paraId="5F771527" w14:textId="77777777"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 understand that the laws that protect privacy and the confidentiality of health information also apply to telehealth, and that no information obtained in the use of telepsychiatry which identifies me will be disclosed to researchers or other entities without my consent.</w:t>
      </w:r>
    </w:p>
    <w:p w14:paraId="76736270" w14:textId="25DD66AB"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 understand that Zoom</w:t>
      </w:r>
      <w:r w:rsidR="009D6589">
        <w:rPr>
          <w:rFonts w:ascii="Cambria" w:eastAsia="Times New Roman" w:hAnsi="Cambria" w:cs="Open Sans"/>
          <w:color w:val="333333"/>
          <w:lang w:eastAsia="en-CA"/>
        </w:rPr>
        <w:t>/Google Meets</w:t>
      </w:r>
      <w:r w:rsidRPr="00E76C8D">
        <w:rPr>
          <w:rFonts w:ascii="Cambria" w:eastAsia="Times New Roman" w:hAnsi="Cambria" w:cs="Open Sans"/>
          <w:color w:val="333333"/>
          <w:lang w:eastAsia="en-CA"/>
        </w:rPr>
        <w:t xml:space="preserve"> technology used by Dr. Liu is encrypted to prevent the unauthorized access to my private medical information.</w:t>
      </w:r>
    </w:p>
    <w:p w14:paraId="43946AC2" w14:textId="77777777"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 understand that I have the right to withhold or withdraw my consent to the use of telepsychiatry in the course of my care at any time, without affecting my right to future care or treatment.</w:t>
      </w:r>
    </w:p>
    <w:p w14:paraId="2FD068EC" w14:textId="79F15679"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 xml:space="preserve">I understand that all rules and regulations which apply to the practice of medicine in the state of </w:t>
      </w:r>
      <w:r w:rsidRPr="007229B6">
        <w:rPr>
          <w:rFonts w:ascii="Cambria" w:eastAsia="Times New Roman" w:hAnsi="Cambria" w:cs="Open Sans"/>
          <w:color w:val="333333"/>
          <w:lang w:eastAsia="en-CA"/>
        </w:rPr>
        <w:t>Maryland</w:t>
      </w:r>
      <w:r w:rsidRPr="00E76C8D">
        <w:rPr>
          <w:rFonts w:ascii="Cambria" w:eastAsia="Times New Roman" w:hAnsi="Cambria" w:cs="Open Sans"/>
          <w:color w:val="333333"/>
          <w:lang w:eastAsia="en-CA"/>
        </w:rPr>
        <w:t xml:space="preserve"> also apply to telepsychiatry</w:t>
      </w:r>
    </w:p>
    <w:p w14:paraId="6955F468" w14:textId="77777777"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 understand that a variety of alternative methods of health care may be available to me, and that I may choose one or more of these at any time. My provider has explained the alternatives to my satisfaction.</w:t>
      </w:r>
    </w:p>
    <w:p w14:paraId="218E2F59" w14:textId="77777777"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 understand that telepsychiatry involves electronic communication of my personal health information </w:t>
      </w:r>
    </w:p>
    <w:p w14:paraId="66BB1C95" w14:textId="77777777" w:rsidR="00E76C8D" w:rsidRPr="00E76C8D" w:rsidRDefault="00E76C8D" w:rsidP="00E76C8D">
      <w:pPr>
        <w:numPr>
          <w:ilvl w:val="0"/>
          <w:numId w:val="5"/>
        </w:numPr>
        <w:shd w:val="clear" w:color="auto" w:fill="FFFFFF"/>
        <w:spacing w:before="100" w:beforeAutospacing="1" w:after="100" w:afterAutospacing="1" w:line="240" w:lineRule="auto"/>
        <w:rPr>
          <w:rFonts w:ascii="Cambria" w:eastAsia="Times New Roman" w:hAnsi="Cambria" w:cs="Open Sans"/>
          <w:color w:val="333333"/>
          <w:lang w:eastAsia="en-CA"/>
        </w:rPr>
      </w:pPr>
      <w:r w:rsidRPr="00E76C8D">
        <w:rPr>
          <w:rFonts w:ascii="Cambria" w:eastAsia="Times New Roman" w:hAnsi="Cambria" w:cs="Open Sans"/>
          <w:color w:val="333333"/>
          <w:lang w:eastAsia="en-CA"/>
        </w:rPr>
        <w:t>I understand that I may expect the anticipated benefits from the use of telepsychiatry in my care, but that no results can be guaranteed or assured. </w:t>
      </w:r>
    </w:p>
    <w:p w14:paraId="209F2679"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0404F08B"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4FF8C06B"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6F0FE87A"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1FA927D5"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719F7AA6"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0EBF2A52"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36E0EDB6"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6217ED08"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0B9C2AB6"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264F471E" w14:textId="77777777" w:rsidR="00022CFB" w:rsidRDefault="00022CFB" w:rsidP="00E76C8D">
      <w:pPr>
        <w:shd w:val="clear" w:color="auto" w:fill="FFFFFF"/>
        <w:spacing w:after="225" w:line="360" w:lineRule="atLeast"/>
        <w:rPr>
          <w:rFonts w:ascii="Cambria" w:eastAsia="Times New Roman" w:hAnsi="Cambria" w:cs="Open Sans"/>
          <w:b/>
          <w:bCs/>
          <w:color w:val="333333"/>
          <w:lang w:eastAsia="en-CA"/>
        </w:rPr>
      </w:pPr>
    </w:p>
    <w:p w14:paraId="33446343" w14:textId="011F3C0C" w:rsidR="00E76C8D" w:rsidRPr="00E76C8D"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b/>
          <w:bCs/>
          <w:color w:val="333333"/>
          <w:lang w:eastAsia="en-CA"/>
        </w:rPr>
        <w:t xml:space="preserve">Patient Consent </w:t>
      </w:r>
      <w:proofErr w:type="gramStart"/>
      <w:r w:rsidRPr="00E76C8D">
        <w:rPr>
          <w:rFonts w:ascii="Cambria" w:eastAsia="Times New Roman" w:hAnsi="Cambria" w:cs="Open Sans"/>
          <w:b/>
          <w:bCs/>
          <w:color w:val="333333"/>
          <w:lang w:eastAsia="en-CA"/>
        </w:rPr>
        <w:t>To</w:t>
      </w:r>
      <w:proofErr w:type="gramEnd"/>
      <w:r w:rsidRPr="00E76C8D">
        <w:rPr>
          <w:rFonts w:ascii="Cambria" w:eastAsia="Times New Roman" w:hAnsi="Cambria" w:cs="Open Sans"/>
          <w:b/>
          <w:bCs/>
          <w:color w:val="333333"/>
          <w:lang w:eastAsia="en-CA"/>
        </w:rPr>
        <w:t xml:space="preserve"> Use Telehealth</w:t>
      </w:r>
    </w:p>
    <w:p w14:paraId="61A0C0BA" w14:textId="1E7DC3B8" w:rsidR="00E76C8D" w:rsidRPr="007229B6" w:rsidRDefault="00E76C8D" w:rsidP="00E76C8D">
      <w:pPr>
        <w:shd w:val="clear" w:color="auto" w:fill="FFFFFF"/>
        <w:spacing w:after="225" w:line="360" w:lineRule="atLeast"/>
        <w:rPr>
          <w:rFonts w:ascii="Cambria" w:eastAsia="Times New Roman" w:hAnsi="Cambria" w:cs="Open Sans"/>
          <w:color w:val="333333"/>
          <w:lang w:eastAsia="en-CA"/>
        </w:rPr>
      </w:pPr>
      <w:r w:rsidRPr="00E76C8D">
        <w:rPr>
          <w:rFonts w:ascii="Cambria" w:eastAsia="Times New Roman" w:hAnsi="Cambria" w:cs="Open Sans"/>
          <w:color w:val="333333"/>
          <w:lang w:eastAsia="en-CA"/>
        </w:rPr>
        <w:t>I have read and understand the information provided above regarding telepsychiatry, have discussed it with my physician, and all of my questions have been answered to my satisfaction. I understand that I can opt out at anytime with written notice. I hereby give my informed consent for the use of telepsychiatry in my care and authorize Dr. Liu</w:t>
      </w:r>
      <w:r w:rsidR="00984081">
        <w:rPr>
          <w:rFonts w:ascii="Cambria" w:eastAsia="Times New Roman" w:hAnsi="Cambria" w:cs="Open Sans"/>
          <w:color w:val="333333"/>
          <w:lang w:eastAsia="en-CA"/>
        </w:rPr>
        <w:t xml:space="preserve"> or Dr. Gavett-Liu</w:t>
      </w:r>
      <w:r w:rsidRPr="00E76C8D">
        <w:rPr>
          <w:rFonts w:ascii="Cambria" w:eastAsia="Times New Roman" w:hAnsi="Cambria" w:cs="Open Sans"/>
          <w:color w:val="333333"/>
          <w:lang w:eastAsia="en-CA"/>
        </w:rPr>
        <w:t xml:space="preserve"> to use telepsychiatry in the course of my diagnosis and treatment. If for any reason(s) telepsychiatry will not work for my treatment, then I will </w:t>
      </w:r>
      <w:r w:rsidR="00537EC2" w:rsidRPr="007229B6">
        <w:rPr>
          <w:rFonts w:ascii="Cambria" w:eastAsia="Times New Roman" w:hAnsi="Cambria" w:cs="Open Sans"/>
          <w:color w:val="333333"/>
          <w:lang w:eastAsia="en-CA"/>
        </w:rPr>
        <w:t>seek another provider for</w:t>
      </w:r>
      <w:r w:rsidRPr="00E76C8D">
        <w:rPr>
          <w:rFonts w:ascii="Cambria" w:eastAsia="Times New Roman" w:hAnsi="Cambria" w:cs="Open Sans"/>
          <w:color w:val="333333"/>
          <w:lang w:eastAsia="en-CA"/>
        </w:rPr>
        <w:t xml:space="preserve"> ongoing evaluations and treatments</w:t>
      </w:r>
      <w:r w:rsidR="00537EC2" w:rsidRPr="007229B6">
        <w:rPr>
          <w:rFonts w:ascii="Cambria" w:eastAsia="Times New Roman" w:hAnsi="Cambria" w:cs="Open Sans"/>
          <w:color w:val="333333"/>
          <w:lang w:eastAsia="en-CA"/>
        </w:rPr>
        <w:t xml:space="preserve"> in person.</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8"/>
        <w:gridCol w:w="2628"/>
      </w:tblGrid>
      <w:tr w:rsidR="00537EC2" w:rsidRPr="007229B6" w14:paraId="5FD950B5" w14:textId="77777777" w:rsidTr="00C512E6">
        <w:trPr>
          <w:trHeight w:val="1210"/>
        </w:trPr>
        <w:tc>
          <w:tcPr>
            <w:tcW w:w="6228" w:type="dxa"/>
            <w:tcBorders>
              <w:top w:val="nil"/>
              <w:left w:val="nil"/>
              <w:bottom w:val="nil"/>
              <w:right w:val="nil"/>
            </w:tcBorders>
            <w:shd w:val="clear" w:color="auto" w:fill="auto"/>
            <w:tcMar>
              <w:top w:w="80" w:type="dxa"/>
              <w:left w:w="80" w:type="dxa"/>
              <w:bottom w:w="80" w:type="dxa"/>
              <w:right w:w="80" w:type="dxa"/>
            </w:tcMar>
          </w:tcPr>
          <w:p w14:paraId="10E8EA43" w14:textId="77777777" w:rsidR="00537EC2" w:rsidRPr="007229B6" w:rsidRDefault="00537EC2" w:rsidP="00C512E6">
            <w:pPr>
              <w:pStyle w:val="Body"/>
              <w:jc w:val="both"/>
              <w:rPr>
                <w:sz w:val="22"/>
                <w:szCs w:val="22"/>
              </w:rPr>
            </w:pPr>
          </w:p>
          <w:p w14:paraId="526FCBA7" w14:textId="77777777" w:rsidR="00537EC2" w:rsidRPr="007229B6" w:rsidRDefault="00537EC2" w:rsidP="00C512E6">
            <w:pPr>
              <w:pStyle w:val="Body"/>
              <w:jc w:val="both"/>
              <w:rPr>
                <w:sz w:val="22"/>
                <w:szCs w:val="22"/>
              </w:rPr>
            </w:pPr>
          </w:p>
          <w:p w14:paraId="25E4B22B" w14:textId="77777777" w:rsidR="00537EC2" w:rsidRPr="007229B6" w:rsidRDefault="00537EC2" w:rsidP="00C512E6">
            <w:pPr>
              <w:pStyle w:val="Body"/>
              <w:jc w:val="both"/>
              <w:rPr>
                <w:sz w:val="22"/>
                <w:szCs w:val="22"/>
              </w:rPr>
            </w:pPr>
            <w:r w:rsidRPr="007229B6">
              <w:rPr>
                <w:sz w:val="22"/>
                <w:szCs w:val="22"/>
              </w:rPr>
              <w:t>_________________________________________________________________</w:t>
            </w:r>
          </w:p>
        </w:tc>
        <w:tc>
          <w:tcPr>
            <w:tcW w:w="2628" w:type="dxa"/>
            <w:tcBorders>
              <w:top w:val="nil"/>
              <w:left w:val="nil"/>
              <w:bottom w:val="nil"/>
              <w:right w:val="nil"/>
            </w:tcBorders>
            <w:shd w:val="clear" w:color="auto" w:fill="auto"/>
            <w:tcMar>
              <w:top w:w="80" w:type="dxa"/>
              <w:left w:w="80" w:type="dxa"/>
              <w:bottom w:w="80" w:type="dxa"/>
              <w:right w:w="80" w:type="dxa"/>
            </w:tcMar>
          </w:tcPr>
          <w:p w14:paraId="5193CFB2" w14:textId="77777777" w:rsidR="00537EC2" w:rsidRPr="007229B6" w:rsidRDefault="00537EC2" w:rsidP="00C512E6">
            <w:pPr>
              <w:pStyle w:val="Body"/>
              <w:jc w:val="both"/>
              <w:rPr>
                <w:sz w:val="22"/>
                <w:szCs w:val="22"/>
              </w:rPr>
            </w:pPr>
          </w:p>
          <w:p w14:paraId="2E93C2B8" w14:textId="77777777" w:rsidR="00537EC2" w:rsidRPr="007229B6" w:rsidRDefault="00537EC2" w:rsidP="00C512E6">
            <w:pPr>
              <w:pStyle w:val="Body"/>
              <w:jc w:val="both"/>
              <w:rPr>
                <w:sz w:val="22"/>
                <w:szCs w:val="22"/>
              </w:rPr>
            </w:pPr>
          </w:p>
          <w:p w14:paraId="75A1EBA0" w14:textId="77777777" w:rsidR="00537EC2" w:rsidRPr="007229B6" w:rsidRDefault="00537EC2" w:rsidP="00C512E6">
            <w:pPr>
              <w:pStyle w:val="Body"/>
              <w:jc w:val="both"/>
              <w:rPr>
                <w:sz w:val="22"/>
                <w:szCs w:val="22"/>
              </w:rPr>
            </w:pPr>
            <w:r w:rsidRPr="007229B6">
              <w:rPr>
                <w:sz w:val="22"/>
                <w:szCs w:val="22"/>
              </w:rPr>
              <w:t>_________________</w:t>
            </w:r>
          </w:p>
        </w:tc>
      </w:tr>
      <w:tr w:rsidR="00537EC2" w:rsidRPr="007229B6" w14:paraId="182992ED" w14:textId="77777777" w:rsidTr="00C512E6">
        <w:trPr>
          <w:trHeight w:val="310"/>
        </w:trPr>
        <w:tc>
          <w:tcPr>
            <w:tcW w:w="6228" w:type="dxa"/>
            <w:tcBorders>
              <w:top w:val="nil"/>
              <w:left w:val="nil"/>
              <w:bottom w:val="nil"/>
              <w:right w:val="nil"/>
            </w:tcBorders>
            <w:shd w:val="clear" w:color="auto" w:fill="auto"/>
            <w:tcMar>
              <w:top w:w="80" w:type="dxa"/>
              <w:left w:w="80" w:type="dxa"/>
              <w:bottom w:w="80" w:type="dxa"/>
              <w:right w:w="80" w:type="dxa"/>
            </w:tcMar>
          </w:tcPr>
          <w:p w14:paraId="2EFA2C10" w14:textId="77777777" w:rsidR="00537EC2" w:rsidRPr="007229B6" w:rsidRDefault="00537EC2" w:rsidP="00C512E6">
            <w:pPr>
              <w:pStyle w:val="Body"/>
              <w:jc w:val="both"/>
              <w:rPr>
                <w:sz w:val="22"/>
                <w:szCs w:val="22"/>
              </w:rPr>
            </w:pPr>
            <w:r w:rsidRPr="007229B6">
              <w:rPr>
                <w:sz w:val="22"/>
                <w:szCs w:val="22"/>
              </w:rPr>
              <w:t>Signature of Patient/Parent/Personal Representative</w:t>
            </w:r>
            <w:r w:rsidRPr="007229B6">
              <w:rPr>
                <w:sz w:val="22"/>
                <w:szCs w:val="22"/>
              </w:rPr>
              <w:tab/>
            </w:r>
          </w:p>
        </w:tc>
        <w:tc>
          <w:tcPr>
            <w:tcW w:w="2628" w:type="dxa"/>
            <w:tcBorders>
              <w:top w:val="nil"/>
              <w:left w:val="nil"/>
              <w:bottom w:val="nil"/>
              <w:right w:val="nil"/>
            </w:tcBorders>
            <w:shd w:val="clear" w:color="auto" w:fill="auto"/>
            <w:tcMar>
              <w:top w:w="80" w:type="dxa"/>
              <w:left w:w="80" w:type="dxa"/>
              <w:bottom w:w="80" w:type="dxa"/>
              <w:right w:w="80" w:type="dxa"/>
            </w:tcMar>
          </w:tcPr>
          <w:p w14:paraId="4E792266" w14:textId="77777777" w:rsidR="00537EC2" w:rsidRPr="007229B6" w:rsidRDefault="00537EC2" w:rsidP="00C512E6">
            <w:pPr>
              <w:pStyle w:val="Body"/>
              <w:jc w:val="both"/>
              <w:rPr>
                <w:sz w:val="22"/>
                <w:szCs w:val="22"/>
              </w:rPr>
            </w:pPr>
            <w:r w:rsidRPr="007229B6">
              <w:rPr>
                <w:sz w:val="22"/>
                <w:szCs w:val="22"/>
              </w:rPr>
              <w:t>Date</w:t>
            </w:r>
          </w:p>
        </w:tc>
      </w:tr>
      <w:tr w:rsidR="00537EC2" w:rsidRPr="007229B6" w14:paraId="2A7E7D06" w14:textId="77777777" w:rsidTr="00C512E6">
        <w:trPr>
          <w:trHeight w:val="1810"/>
        </w:trPr>
        <w:tc>
          <w:tcPr>
            <w:tcW w:w="6228" w:type="dxa"/>
            <w:tcBorders>
              <w:top w:val="nil"/>
              <w:left w:val="nil"/>
              <w:bottom w:val="nil"/>
              <w:right w:val="nil"/>
            </w:tcBorders>
            <w:shd w:val="clear" w:color="auto" w:fill="auto"/>
            <w:tcMar>
              <w:top w:w="80" w:type="dxa"/>
              <w:left w:w="80" w:type="dxa"/>
              <w:bottom w:w="80" w:type="dxa"/>
              <w:right w:w="80" w:type="dxa"/>
            </w:tcMar>
          </w:tcPr>
          <w:p w14:paraId="0DF648D8" w14:textId="77777777" w:rsidR="00537EC2" w:rsidRPr="007229B6" w:rsidRDefault="00537EC2" w:rsidP="00C512E6">
            <w:pPr>
              <w:pStyle w:val="Body"/>
              <w:jc w:val="both"/>
              <w:rPr>
                <w:sz w:val="22"/>
                <w:szCs w:val="22"/>
              </w:rPr>
            </w:pPr>
          </w:p>
          <w:p w14:paraId="3C554988" w14:textId="77777777" w:rsidR="00537EC2" w:rsidRPr="007229B6" w:rsidRDefault="00537EC2" w:rsidP="00C512E6">
            <w:pPr>
              <w:pStyle w:val="Body"/>
              <w:jc w:val="both"/>
              <w:rPr>
                <w:sz w:val="22"/>
                <w:szCs w:val="22"/>
              </w:rPr>
            </w:pPr>
          </w:p>
          <w:p w14:paraId="2EF2AFB0" w14:textId="77777777" w:rsidR="00537EC2" w:rsidRPr="007229B6" w:rsidRDefault="00537EC2" w:rsidP="00C512E6">
            <w:pPr>
              <w:pStyle w:val="Body"/>
              <w:jc w:val="both"/>
              <w:rPr>
                <w:sz w:val="22"/>
                <w:szCs w:val="22"/>
              </w:rPr>
            </w:pPr>
          </w:p>
          <w:p w14:paraId="2F4ABF24" w14:textId="77777777" w:rsidR="00537EC2" w:rsidRPr="007229B6" w:rsidRDefault="00537EC2" w:rsidP="00C512E6">
            <w:pPr>
              <w:pStyle w:val="Body"/>
              <w:jc w:val="both"/>
              <w:rPr>
                <w:sz w:val="22"/>
                <w:szCs w:val="22"/>
              </w:rPr>
            </w:pPr>
          </w:p>
          <w:p w14:paraId="61939780" w14:textId="77777777" w:rsidR="00537EC2" w:rsidRPr="007229B6" w:rsidRDefault="00537EC2" w:rsidP="00C512E6">
            <w:pPr>
              <w:pStyle w:val="Body"/>
              <w:jc w:val="both"/>
              <w:rPr>
                <w:sz w:val="22"/>
                <w:szCs w:val="22"/>
              </w:rPr>
            </w:pPr>
            <w:r w:rsidRPr="007229B6">
              <w:rPr>
                <w:sz w:val="22"/>
                <w:szCs w:val="22"/>
              </w:rPr>
              <w:t>__________________________________________________________________</w:t>
            </w:r>
          </w:p>
        </w:tc>
        <w:tc>
          <w:tcPr>
            <w:tcW w:w="2628" w:type="dxa"/>
            <w:tcBorders>
              <w:top w:val="nil"/>
              <w:left w:val="nil"/>
              <w:bottom w:val="nil"/>
              <w:right w:val="nil"/>
            </w:tcBorders>
            <w:shd w:val="clear" w:color="auto" w:fill="auto"/>
            <w:tcMar>
              <w:top w:w="80" w:type="dxa"/>
              <w:left w:w="80" w:type="dxa"/>
              <w:bottom w:w="80" w:type="dxa"/>
              <w:right w:w="80" w:type="dxa"/>
            </w:tcMar>
          </w:tcPr>
          <w:p w14:paraId="7627F804" w14:textId="77777777" w:rsidR="00537EC2" w:rsidRPr="007229B6" w:rsidRDefault="00537EC2" w:rsidP="00C512E6">
            <w:pPr>
              <w:pStyle w:val="Body"/>
              <w:jc w:val="both"/>
              <w:rPr>
                <w:sz w:val="22"/>
                <w:szCs w:val="22"/>
              </w:rPr>
            </w:pPr>
          </w:p>
          <w:p w14:paraId="7662AE95" w14:textId="77777777" w:rsidR="00537EC2" w:rsidRPr="007229B6" w:rsidRDefault="00537EC2" w:rsidP="00C512E6">
            <w:pPr>
              <w:pStyle w:val="Body"/>
              <w:jc w:val="both"/>
              <w:rPr>
                <w:sz w:val="22"/>
                <w:szCs w:val="22"/>
              </w:rPr>
            </w:pPr>
          </w:p>
          <w:p w14:paraId="42D07128" w14:textId="77777777" w:rsidR="00537EC2" w:rsidRPr="007229B6" w:rsidRDefault="00537EC2" w:rsidP="00C512E6">
            <w:pPr>
              <w:pStyle w:val="Body"/>
              <w:jc w:val="both"/>
              <w:rPr>
                <w:sz w:val="22"/>
                <w:szCs w:val="22"/>
              </w:rPr>
            </w:pPr>
          </w:p>
          <w:p w14:paraId="5191DC14" w14:textId="77777777" w:rsidR="00537EC2" w:rsidRPr="007229B6" w:rsidRDefault="00537EC2" w:rsidP="00C512E6">
            <w:pPr>
              <w:pStyle w:val="Body"/>
              <w:jc w:val="both"/>
              <w:rPr>
                <w:sz w:val="22"/>
                <w:szCs w:val="22"/>
              </w:rPr>
            </w:pPr>
          </w:p>
          <w:p w14:paraId="63B4CF38" w14:textId="77777777" w:rsidR="00537EC2" w:rsidRPr="007229B6" w:rsidRDefault="00537EC2" w:rsidP="00C512E6">
            <w:pPr>
              <w:pStyle w:val="Body"/>
              <w:jc w:val="both"/>
              <w:rPr>
                <w:sz w:val="22"/>
                <w:szCs w:val="22"/>
              </w:rPr>
            </w:pPr>
            <w:r w:rsidRPr="007229B6">
              <w:rPr>
                <w:sz w:val="22"/>
                <w:szCs w:val="22"/>
              </w:rPr>
              <w:t>_________________________</w:t>
            </w:r>
          </w:p>
        </w:tc>
      </w:tr>
      <w:tr w:rsidR="00537EC2" w:rsidRPr="007229B6" w14:paraId="79E8A98D" w14:textId="77777777" w:rsidTr="00C512E6">
        <w:trPr>
          <w:trHeight w:val="310"/>
        </w:trPr>
        <w:tc>
          <w:tcPr>
            <w:tcW w:w="6228" w:type="dxa"/>
            <w:tcBorders>
              <w:top w:val="nil"/>
              <w:left w:val="nil"/>
              <w:bottom w:val="nil"/>
              <w:right w:val="nil"/>
            </w:tcBorders>
            <w:shd w:val="clear" w:color="auto" w:fill="auto"/>
            <w:tcMar>
              <w:top w:w="80" w:type="dxa"/>
              <w:left w:w="80" w:type="dxa"/>
              <w:bottom w:w="80" w:type="dxa"/>
              <w:right w:w="80" w:type="dxa"/>
            </w:tcMar>
          </w:tcPr>
          <w:p w14:paraId="518F1550" w14:textId="77777777" w:rsidR="00537EC2" w:rsidRPr="007229B6" w:rsidRDefault="00537EC2" w:rsidP="00C512E6">
            <w:pPr>
              <w:pStyle w:val="Body"/>
              <w:jc w:val="both"/>
              <w:rPr>
                <w:sz w:val="22"/>
                <w:szCs w:val="22"/>
              </w:rPr>
            </w:pPr>
            <w:r w:rsidRPr="007229B6">
              <w:rPr>
                <w:sz w:val="22"/>
                <w:szCs w:val="22"/>
              </w:rPr>
              <w:t>Printed Name of Patient/Parent/Personal Representative</w:t>
            </w:r>
          </w:p>
        </w:tc>
        <w:tc>
          <w:tcPr>
            <w:tcW w:w="2628" w:type="dxa"/>
            <w:tcBorders>
              <w:top w:val="nil"/>
              <w:left w:val="nil"/>
              <w:bottom w:val="nil"/>
              <w:right w:val="nil"/>
            </w:tcBorders>
            <w:shd w:val="clear" w:color="auto" w:fill="auto"/>
            <w:tcMar>
              <w:top w:w="80" w:type="dxa"/>
              <w:left w:w="80" w:type="dxa"/>
              <w:bottom w:w="80" w:type="dxa"/>
              <w:right w:w="80" w:type="dxa"/>
            </w:tcMar>
          </w:tcPr>
          <w:p w14:paraId="7931787F" w14:textId="77777777" w:rsidR="00537EC2" w:rsidRPr="007229B6" w:rsidRDefault="00537EC2" w:rsidP="00C512E6">
            <w:pPr>
              <w:pStyle w:val="Body"/>
              <w:jc w:val="both"/>
              <w:rPr>
                <w:sz w:val="22"/>
                <w:szCs w:val="22"/>
              </w:rPr>
            </w:pPr>
            <w:r w:rsidRPr="007229B6">
              <w:rPr>
                <w:sz w:val="22"/>
                <w:szCs w:val="22"/>
              </w:rPr>
              <w:t>Relationship to Patient</w:t>
            </w:r>
          </w:p>
        </w:tc>
      </w:tr>
    </w:tbl>
    <w:p w14:paraId="39F24938" w14:textId="77777777" w:rsidR="001C7C2E" w:rsidRDefault="001C7C2E"/>
    <w:sectPr w:rsidR="001C7C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43ED9" w14:textId="77777777" w:rsidR="008C25F6" w:rsidRDefault="008C25F6" w:rsidP="00E76C8D">
      <w:pPr>
        <w:spacing w:after="0" w:line="240" w:lineRule="auto"/>
      </w:pPr>
      <w:r>
        <w:separator/>
      </w:r>
    </w:p>
  </w:endnote>
  <w:endnote w:type="continuationSeparator" w:id="0">
    <w:p w14:paraId="43BBC208" w14:textId="77777777" w:rsidR="008C25F6" w:rsidRDefault="008C25F6" w:rsidP="00E7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35DA" w14:textId="77777777" w:rsidR="004264BA" w:rsidRDefault="0042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9B87" w14:textId="77777777" w:rsidR="004264BA" w:rsidRDefault="00426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4D9D" w14:textId="77777777" w:rsidR="004264BA" w:rsidRDefault="0042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CE5A2" w14:textId="77777777" w:rsidR="008C25F6" w:rsidRDefault="008C25F6" w:rsidP="00E76C8D">
      <w:pPr>
        <w:spacing w:after="0" w:line="240" w:lineRule="auto"/>
      </w:pPr>
      <w:r>
        <w:separator/>
      </w:r>
    </w:p>
  </w:footnote>
  <w:footnote w:type="continuationSeparator" w:id="0">
    <w:p w14:paraId="0313C1D1" w14:textId="77777777" w:rsidR="008C25F6" w:rsidRDefault="008C25F6" w:rsidP="00E7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EF84" w14:textId="77777777" w:rsidR="004264BA" w:rsidRDefault="0042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BF68" w14:textId="77777777" w:rsidR="004264BA" w:rsidRDefault="004264BA" w:rsidP="004264BA">
    <w:pPr>
      <w:pStyle w:val="Body"/>
      <w:jc w:val="center"/>
      <w:rPr>
        <w:b/>
        <w:bCs/>
        <w:sz w:val="22"/>
        <w:szCs w:val="22"/>
      </w:rPr>
    </w:pPr>
    <w:r w:rsidRPr="00507FFC">
      <w:rPr>
        <w:b/>
        <w:bCs/>
        <w:noProof/>
        <w:sz w:val="22"/>
        <w:szCs w:val="22"/>
      </w:rPr>
      <w:drawing>
        <wp:inline distT="0" distB="0" distL="0" distR="0" wp14:anchorId="6E800FDF" wp14:editId="41EDCCC2">
          <wp:extent cx="385762" cy="347942"/>
          <wp:effectExtent l="0" t="0" r="0" b="0"/>
          <wp:docPr id="114852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25376" name=""/>
                  <pic:cNvPicPr/>
                </pic:nvPicPr>
                <pic:blipFill>
                  <a:blip r:embed="rId1"/>
                  <a:stretch>
                    <a:fillRect/>
                  </a:stretch>
                </pic:blipFill>
                <pic:spPr>
                  <a:xfrm>
                    <a:off x="0" y="0"/>
                    <a:ext cx="393071" cy="354534"/>
                  </a:xfrm>
                  <a:prstGeom prst="rect">
                    <a:avLst/>
                  </a:prstGeom>
                </pic:spPr>
              </pic:pic>
            </a:graphicData>
          </a:graphic>
        </wp:inline>
      </w:drawing>
    </w:r>
  </w:p>
  <w:p w14:paraId="66EDE700" w14:textId="77777777" w:rsidR="004264BA" w:rsidRPr="00675074" w:rsidRDefault="004264BA" w:rsidP="004264BA">
    <w:pPr>
      <w:pStyle w:val="Body"/>
      <w:jc w:val="center"/>
      <w:rPr>
        <w:b/>
        <w:bCs/>
        <w:sz w:val="22"/>
        <w:szCs w:val="22"/>
      </w:rPr>
    </w:pPr>
    <w:r w:rsidRPr="00675074">
      <w:rPr>
        <w:b/>
        <w:bCs/>
        <w:sz w:val="22"/>
        <w:szCs w:val="22"/>
      </w:rPr>
      <w:t>Psychiatry</w:t>
    </w:r>
    <w:r>
      <w:rPr>
        <w:b/>
        <w:bCs/>
        <w:sz w:val="22"/>
        <w:szCs w:val="22"/>
      </w:rPr>
      <w:t xml:space="preserve"> O</w:t>
    </w:r>
    <w:r w:rsidRPr="00675074">
      <w:rPr>
        <w:b/>
        <w:bCs/>
        <w:sz w:val="22"/>
        <w:szCs w:val="22"/>
      </w:rPr>
      <w:t>nline Canada</w:t>
    </w:r>
  </w:p>
  <w:p w14:paraId="4FC3CC42" w14:textId="77777777" w:rsidR="004264BA" w:rsidRPr="00675074" w:rsidRDefault="004264BA" w:rsidP="004264BA">
    <w:pPr>
      <w:pStyle w:val="Body"/>
      <w:jc w:val="center"/>
      <w:rPr>
        <w:sz w:val="22"/>
        <w:szCs w:val="22"/>
      </w:rPr>
    </w:pPr>
    <w:r w:rsidRPr="00675074">
      <w:rPr>
        <w:b/>
        <w:bCs/>
        <w:sz w:val="22"/>
        <w:szCs w:val="22"/>
      </w:rPr>
      <w:t>Dr</w:t>
    </w:r>
    <w:r>
      <w:rPr>
        <w:b/>
        <w:bCs/>
        <w:sz w:val="22"/>
        <w:szCs w:val="22"/>
      </w:rPr>
      <w:t>.</w:t>
    </w:r>
    <w:r w:rsidRPr="00675074">
      <w:rPr>
        <w:b/>
        <w:bCs/>
        <w:sz w:val="22"/>
        <w:szCs w:val="22"/>
      </w:rPr>
      <w:t xml:space="preserve"> Anson Liu, </w:t>
    </w:r>
    <w:proofErr w:type="gramStart"/>
    <w:r w:rsidRPr="00675074">
      <w:rPr>
        <w:b/>
        <w:bCs/>
        <w:sz w:val="22"/>
        <w:szCs w:val="22"/>
      </w:rPr>
      <w:t>M.D.,M.S.</w:t>
    </w:r>
    <w:proofErr w:type="gramEnd"/>
    <w:r w:rsidRPr="00675074">
      <w:rPr>
        <w:sz w:val="22"/>
        <w:szCs w:val="22"/>
      </w:rPr>
      <w:t xml:space="preserve"> </w:t>
    </w:r>
    <w:r w:rsidRPr="00675074">
      <w:rPr>
        <w:b/>
        <w:bCs/>
        <w:sz w:val="22"/>
        <w:szCs w:val="22"/>
      </w:rPr>
      <w:t xml:space="preserve">&amp; </w:t>
    </w:r>
    <w:r>
      <w:rPr>
        <w:b/>
        <w:bCs/>
        <w:sz w:val="22"/>
        <w:szCs w:val="22"/>
      </w:rPr>
      <w:t xml:space="preserve">Dr. </w:t>
    </w:r>
    <w:r w:rsidRPr="00675074">
      <w:rPr>
        <w:b/>
        <w:bCs/>
        <w:sz w:val="22"/>
        <w:szCs w:val="22"/>
      </w:rPr>
      <w:t xml:space="preserve">Emily </w:t>
    </w:r>
    <w:proofErr w:type="spellStart"/>
    <w:r w:rsidRPr="00675074">
      <w:rPr>
        <w:b/>
        <w:bCs/>
        <w:sz w:val="22"/>
        <w:szCs w:val="22"/>
      </w:rPr>
      <w:t>Gavett</w:t>
    </w:r>
    <w:proofErr w:type="spellEnd"/>
    <w:r w:rsidRPr="00675074">
      <w:rPr>
        <w:b/>
        <w:bCs/>
        <w:sz w:val="22"/>
        <w:szCs w:val="22"/>
      </w:rPr>
      <w:t>-Liu, M.D.</w:t>
    </w:r>
  </w:p>
  <w:p w14:paraId="257FD0FA" w14:textId="77777777" w:rsidR="004264BA" w:rsidRPr="00675074" w:rsidRDefault="004264BA" w:rsidP="004264BA">
    <w:pPr>
      <w:pStyle w:val="Body"/>
      <w:jc w:val="center"/>
      <w:rPr>
        <w:b/>
        <w:bCs/>
        <w:sz w:val="22"/>
        <w:szCs w:val="22"/>
      </w:rPr>
    </w:pPr>
    <w:r w:rsidRPr="00675074">
      <w:rPr>
        <w:b/>
        <w:bCs/>
        <w:sz w:val="22"/>
        <w:szCs w:val="22"/>
      </w:rPr>
      <w:t>Child, Adolescent and Adult Psychiatrist and Psychotherapist</w:t>
    </w:r>
  </w:p>
  <w:p w14:paraId="3380C7DC" w14:textId="77777777" w:rsidR="004264BA" w:rsidRPr="00675074" w:rsidRDefault="004264BA" w:rsidP="004264BA">
    <w:pPr>
      <w:pStyle w:val="Body"/>
      <w:jc w:val="center"/>
      <w:rPr>
        <w:b/>
        <w:bCs/>
        <w:sz w:val="22"/>
        <w:szCs w:val="22"/>
      </w:rPr>
    </w:pPr>
    <w:r w:rsidRPr="00675074">
      <w:rPr>
        <w:b/>
        <w:bCs/>
        <w:sz w:val="22"/>
        <w:szCs w:val="22"/>
      </w:rPr>
      <w:t>admin@psychiatryonlinecanada.ca</w:t>
    </w:r>
  </w:p>
  <w:p w14:paraId="316B9B26" w14:textId="77777777" w:rsidR="00022CFB" w:rsidRDefault="00022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9D77" w14:textId="77777777" w:rsidR="004264BA" w:rsidRDefault="0042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C2E39"/>
    <w:multiLevelType w:val="multilevel"/>
    <w:tmpl w:val="1170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03A32"/>
    <w:multiLevelType w:val="multilevel"/>
    <w:tmpl w:val="BE5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5337C"/>
    <w:multiLevelType w:val="multilevel"/>
    <w:tmpl w:val="AAEE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C375E"/>
    <w:multiLevelType w:val="multilevel"/>
    <w:tmpl w:val="9D0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42402"/>
    <w:multiLevelType w:val="multilevel"/>
    <w:tmpl w:val="1CC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727456">
    <w:abstractNumId w:val="1"/>
  </w:num>
  <w:num w:numId="2" w16cid:durableId="2131312664">
    <w:abstractNumId w:val="3"/>
  </w:num>
  <w:num w:numId="3" w16cid:durableId="323706302">
    <w:abstractNumId w:val="4"/>
  </w:num>
  <w:num w:numId="4" w16cid:durableId="1568960063">
    <w:abstractNumId w:val="2"/>
  </w:num>
  <w:num w:numId="5" w16cid:durableId="74996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8D"/>
    <w:rsid w:val="00022CFB"/>
    <w:rsid w:val="001C7C2E"/>
    <w:rsid w:val="002E356F"/>
    <w:rsid w:val="004264BA"/>
    <w:rsid w:val="004E5CC4"/>
    <w:rsid w:val="005028A7"/>
    <w:rsid w:val="00537EC2"/>
    <w:rsid w:val="00672A97"/>
    <w:rsid w:val="007166E6"/>
    <w:rsid w:val="007229B6"/>
    <w:rsid w:val="008B0715"/>
    <w:rsid w:val="008C25F6"/>
    <w:rsid w:val="00984081"/>
    <w:rsid w:val="009927BF"/>
    <w:rsid w:val="009D6589"/>
    <w:rsid w:val="00B852FF"/>
    <w:rsid w:val="00C359DA"/>
    <w:rsid w:val="00CF74F4"/>
    <w:rsid w:val="00D329F4"/>
    <w:rsid w:val="00D81A30"/>
    <w:rsid w:val="00DE330C"/>
    <w:rsid w:val="00E76C8D"/>
    <w:rsid w:val="00F62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1F92"/>
  <w15:chartTrackingRefBased/>
  <w15:docId w15:val="{0EB3F424-7B9F-477E-B5EA-933A45EA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C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6C8D"/>
    <w:rPr>
      <w:b/>
      <w:bCs/>
    </w:rPr>
  </w:style>
  <w:style w:type="paragraph" w:styleId="Header">
    <w:name w:val="header"/>
    <w:basedOn w:val="Normal"/>
    <w:link w:val="HeaderChar"/>
    <w:uiPriority w:val="99"/>
    <w:unhideWhenUsed/>
    <w:rsid w:val="00E76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8D"/>
  </w:style>
  <w:style w:type="paragraph" w:styleId="Footer">
    <w:name w:val="footer"/>
    <w:basedOn w:val="Normal"/>
    <w:link w:val="FooterChar"/>
    <w:uiPriority w:val="99"/>
    <w:unhideWhenUsed/>
    <w:rsid w:val="00E76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8D"/>
  </w:style>
  <w:style w:type="paragraph" w:customStyle="1" w:styleId="Body">
    <w:name w:val="Body"/>
    <w:rsid w:val="00E76C8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CA"/>
    </w:rPr>
  </w:style>
  <w:style w:type="character" w:customStyle="1" w:styleId="Hyperlink0">
    <w:name w:val="Hyperlink.0"/>
    <w:basedOn w:val="Hyperlink"/>
    <w:rsid w:val="00E76C8D"/>
    <w:rPr>
      <w:color w:val="0000FF"/>
      <w:u w:val="single" w:color="0000FF"/>
    </w:rPr>
  </w:style>
  <w:style w:type="character" w:styleId="Hyperlink">
    <w:name w:val="Hyperlink"/>
    <w:basedOn w:val="DefaultParagraphFont"/>
    <w:uiPriority w:val="99"/>
    <w:semiHidden/>
    <w:unhideWhenUsed/>
    <w:rsid w:val="00E76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0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Anson Liu</dc:creator>
  <cp:keywords/>
  <dc:description/>
  <cp:lastModifiedBy>Anson Liu</cp:lastModifiedBy>
  <cp:revision>5</cp:revision>
  <dcterms:created xsi:type="dcterms:W3CDTF">2025-01-24T00:10:00Z</dcterms:created>
  <dcterms:modified xsi:type="dcterms:W3CDTF">2025-01-24T00:19:00Z</dcterms:modified>
</cp:coreProperties>
</file>